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华宸信托·宸兴1号集合资金信托计划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季度资金管理报告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yellow"/>
        </w:rPr>
      </w:pPr>
      <w:r>
        <w:rPr>
          <w:rFonts w:hint="eastAsia" w:ascii="宋体" w:hAnsi="宋体" w:eastAsia="宋体" w:cs="宋体"/>
          <w:sz w:val="36"/>
          <w:szCs w:val="36"/>
          <w:highlight w:val="none"/>
        </w:rPr>
        <w:t>（2022年第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宸信托有限责任公司（以下简称“本公司”）发起设立的“华宸信托·宸兴1号集合资金信托计划”（以下简称“本信托计划”或“信托计划”）于2021年4月28日依法成立。本公司作为受托人向您报告本信托计划成立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2022年第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</w:t>
      </w:r>
      <w:r>
        <w:rPr>
          <w:rFonts w:hint="eastAsia" w:ascii="仿宋" w:hAnsi="仿宋" w:eastAsia="仿宋" w:cs="仿宋"/>
          <w:sz w:val="32"/>
          <w:szCs w:val="32"/>
        </w:rPr>
        <w:t>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1、信托计划名称：华宸信托·宸兴1号集合资金信托计划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3、信托计划成立日：2021年4月28日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4、信托计划规模：人民币18,000.00万元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5、信托计划期限：2021年4月28日至2023年4月28日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开户银行：渤海银行股份有限公司呼和浩特丰州路支行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开户账号：3003 5864 1400 0358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信托计划成立起至本日，受托人按照信托文件的规定，将信托资金用于投资标的债券。自本信托计划成立起至本日，受托人没有发现信托计划资金任何挪用情况发生，项目按照有关信托文件运行正常，融资方经营情况及财务状况正常。且没有发生能够影响信托财产安全及受益人利益的其他情况。至本报告期末，信托专户资金余额为人民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368,858.21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四、信托财产收入、估值及信托利益分配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止2022年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12月31日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本计划信托资产总计189,541,460.95元，其中：货币资金368,858.21元，债权投资189,172,602.74元；信托负债合计为570,957.10元，其中：应交税费301,894.12元，应付受托人报酬244,602.74元，应付托管费24,460.24元；信托权益合计188,970,503.85元，其中：实收信托180,000,000.00元，未分配利润8,970,503.85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截止2022年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12月31日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计22,020,909.11元，全部为利息收入。</w:t>
      </w:r>
      <w:r>
        <w:rPr>
          <w:rFonts w:hint="eastAsia" w:ascii="仿宋" w:hAnsi="仿宋" w:eastAsia="仿宋" w:cs="仿宋"/>
          <w:sz w:val="32"/>
          <w:szCs w:val="32"/>
        </w:rPr>
        <w:t>截止2022年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12月31日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支出费用合计765,969.65元，其中：受托人报酬604,602.74元，营业税金及附加85,847.67元，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托管费60,460.24元，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律师费5000.00元，资料印刷费7,329.00元，差旅费2,710.00元，银行结算费20.00元。可供分配的信托利润21,254,939.46元，已分配信托收益12,284,435.61元，期末未分配信托利润8,970,503.85元。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截止本报告期最后一日，信托计划单位净值为1.0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498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，累计净值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1.1180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NDc0NWI1YWE5NzM0NThlYjczMGEyMTY1MWFjYWYifQ=="/>
    <w:docVar w:name="KSO_WPS_MARK_KEY" w:val="2e2a0c4c-4ad1-44ba-b2c4-927837a745b5"/>
  </w:docVars>
  <w:rsids>
    <w:rsidRoot w:val="6CC62633"/>
    <w:rsid w:val="53323601"/>
    <w:rsid w:val="5D6B2A0B"/>
    <w:rsid w:val="6B662BEB"/>
    <w:rsid w:val="6CC62633"/>
    <w:rsid w:val="775D17E4"/>
    <w:rsid w:val="77A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1533</Characters>
  <Lines>0</Lines>
  <Paragraphs>0</Paragraphs>
  <TotalTime>0</TotalTime>
  <ScaleCrop>false</ScaleCrop>
  <LinksUpToDate>false</LinksUpToDate>
  <CharactersWithSpaces>1537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Admin</cp:lastModifiedBy>
  <dcterms:modified xsi:type="dcterms:W3CDTF">2023-01-10T05:45:09Z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18157F7E0074478CA3E3CA9C5AB1A44B</vt:lpwstr>
  </property>
</Properties>
</file>